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836"/>
        <w:gridCol w:w="5372"/>
        <w:gridCol w:w="2430"/>
      </w:tblGrid>
      <w:tr w:rsidR="0086470E" w:rsidTr="0086470E">
        <w:tc>
          <w:tcPr>
            <w:tcW w:w="1875" w:type="dxa"/>
            <w:tcBorders>
              <w:bottom w:val="single" w:sz="4" w:space="0" w:color="auto"/>
            </w:tcBorders>
          </w:tcPr>
          <w:p w:rsidR="0086470E" w:rsidRDefault="0086470E" w:rsidP="00AB20D0"/>
        </w:tc>
        <w:tc>
          <w:tcPr>
            <w:tcW w:w="5496" w:type="dxa"/>
            <w:tcBorders>
              <w:bottom w:val="single" w:sz="4" w:space="0" w:color="auto"/>
            </w:tcBorders>
          </w:tcPr>
          <w:p w:rsidR="0086470E" w:rsidRPr="00BA11F1" w:rsidRDefault="0086470E" w:rsidP="00AB20D0">
            <w:r w:rsidRPr="00BA11F1">
              <w:t xml:space="preserve"> 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:rsidR="0086470E" w:rsidRPr="00480E34" w:rsidRDefault="0086470E" w:rsidP="0086470E">
            <w:pPr>
              <w:jc w:val="right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86470E" w:rsidRPr="0086470E" w:rsidTr="0086470E"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</w:tcPr>
          <w:p w:rsidR="0086470E" w:rsidRPr="0086470E" w:rsidRDefault="0086470E" w:rsidP="00AB20D0">
            <w:pPr>
              <w:rPr>
                <w:noProof/>
                <w:sz w:val="10"/>
              </w:rPr>
            </w:pPr>
          </w:p>
        </w:tc>
        <w:tc>
          <w:tcPr>
            <w:tcW w:w="5496" w:type="dxa"/>
            <w:tcBorders>
              <w:top w:val="single" w:sz="4" w:space="0" w:color="auto"/>
              <w:bottom w:val="single" w:sz="4" w:space="0" w:color="auto"/>
            </w:tcBorders>
          </w:tcPr>
          <w:p w:rsidR="0086470E" w:rsidRPr="0086470E" w:rsidRDefault="0086470E" w:rsidP="00AB20D0">
            <w:pPr>
              <w:rPr>
                <w:b/>
                <w:sz w:val="10"/>
              </w:rPr>
            </w:pPr>
          </w:p>
        </w:tc>
        <w:tc>
          <w:tcPr>
            <w:tcW w:w="2483" w:type="dxa"/>
            <w:tcBorders>
              <w:top w:val="single" w:sz="4" w:space="0" w:color="auto"/>
              <w:bottom w:val="single" w:sz="4" w:space="0" w:color="auto"/>
            </w:tcBorders>
          </w:tcPr>
          <w:p w:rsidR="0086470E" w:rsidRPr="0086470E" w:rsidRDefault="0086470E" w:rsidP="0086470E">
            <w:pPr>
              <w:jc w:val="right"/>
              <w:rPr>
                <w:b/>
                <w:noProof/>
                <w:sz w:val="10"/>
              </w:rPr>
            </w:pPr>
          </w:p>
        </w:tc>
      </w:tr>
    </w:tbl>
    <w:p w:rsidR="00A2225D" w:rsidRDefault="00A2225D"/>
    <w:p w:rsidR="0086470E" w:rsidRDefault="0086470E"/>
    <w:p w:rsidR="00FB2AE8" w:rsidRDefault="00FB2AE8" w:rsidP="00FB2AE8">
      <w:r>
        <w:rPr>
          <w:noProof/>
        </w:rPr>
        <w:drawing>
          <wp:inline distT="0" distB="0" distL="0" distR="0">
            <wp:extent cx="5589684" cy="4257569"/>
            <wp:effectExtent l="0" t="0" r="0" b="0"/>
            <wp:docPr id="16" name="Slika 16" descr="Preporuke za organizaciju rada u razrednoj nastavi i upute za vrednovanje i ocjenjivanje u mješovitom modelu nast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ruke za organizaciju rada u razrednoj nastavi i upute za vrednovanje i ocjenjivanje u mješovitom modelu nasta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23" cy="42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1"/>
        <w:spacing w:before="0" w:beforeAutospacing="0"/>
        <w:rPr>
          <w:rFonts w:ascii="Arial" w:hAnsi="Arial" w:cs="Arial"/>
          <w:color w:val="00204A"/>
          <w:sz w:val="54"/>
          <w:szCs w:val="54"/>
        </w:rPr>
      </w:pPr>
      <w:r>
        <w:rPr>
          <w:rFonts w:ascii="Arial" w:hAnsi="Arial" w:cs="Arial"/>
          <w:color w:val="00204A"/>
          <w:sz w:val="54"/>
          <w:szCs w:val="54"/>
        </w:rPr>
        <w:t>Preporuke za organizaciju rada u razrednoj nastavi i upute za vrednovanje i ocjenjivanje u mješovitom modelu nastave</w:t>
      </w:r>
    </w:p>
    <w:p w:rsidR="00FB2AE8" w:rsidRDefault="00FB2AE8" w:rsidP="00FB2AE8">
      <w:r>
        <w:rPr>
          <w:rStyle w:val="date-second"/>
          <w:i/>
          <w:iCs/>
          <w:color w:val="FD5F00"/>
        </w:rPr>
        <w:t>Objavljeno: 30. travnja 2020.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  <w:i/>
          <w:iCs/>
          <w:color w:val="00204A"/>
        </w:rPr>
      </w:pPr>
      <w:r>
        <w:rPr>
          <w:rFonts w:ascii="Arial" w:hAnsi="Arial" w:cs="Arial"/>
          <w:i/>
          <w:iCs/>
          <w:color w:val="000080"/>
        </w:rPr>
        <w:t>Najraniji rok primjene: 11. svibnja 2020.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0" w:name="_Toc39144536"/>
      <w:bookmarkEnd w:id="0"/>
      <w:r>
        <w:rPr>
          <w:rFonts w:ascii="Arial" w:hAnsi="Arial" w:cs="Arial"/>
          <w:color w:val="333399"/>
        </w:rPr>
        <w:t>Uvod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Na temelju </w:t>
      </w:r>
      <w:hyperlink r:id="rId8" w:history="1">
        <w:r>
          <w:rPr>
            <w:rStyle w:val="Hiperveza"/>
            <w:color w:val="222222"/>
            <w:sz w:val="26"/>
            <w:szCs w:val="26"/>
          </w:rPr>
          <w:t>zaključka Vlade Republike Hrvatske od 23. travnja 2020</w:t>
        </w:r>
      </w:hyperlink>
      <w:r>
        <w:rPr>
          <w:sz w:val="26"/>
          <w:szCs w:val="26"/>
        </w:rPr>
        <w:t xml:space="preserve">. plan je otvoriti škole za razrednu nastavu za određene skupine učenika i uz primjenu preporuka Hrvatskog zavoda za javno zdravstvo (HZJZ).  Naime, u trenutku kad se obnavljaju gospodarske aktivnosti očekuje se da će roditelji početi raditi izvan kuće pa je u skladu s time potrebno uspostavljati određene funkcije odgojno-obrazovnog sustava. Omogućiti djeci i učenicima </w:t>
      </w:r>
      <w:r>
        <w:rPr>
          <w:sz w:val="26"/>
          <w:szCs w:val="26"/>
        </w:rPr>
        <w:lastRenderedPageBreak/>
        <w:t>povratak u dječje vrtiće i škole, i time im omogućiti nastavak uobičajenog obrazovnog procesa, također je jedan vid oporavljanja situacije u kojoj smo se našli. Dodatno, za učenike je korisno da se vrate u školu, ako je to epidemiološki prihvatljivo, zato što je kvalitetu nastave lakše osigurati u školama, a i socijalizacija je važan aspekt učenikova odgoja i obrazovanja. I dalje je najvažniji cilj briga o cjelovitom razvoju i dobrobiti djeteta.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HZJZ objavio je </w:t>
      </w:r>
      <w:hyperlink r:id="rId9" w:history="1">
        <w:r>
          <w:rPr>
            <w:rStyle w:val="Istaknuto"/>
            <w:color w:val="222222"/>
            <w:sz w:val="26"/>
            <w:szCs w:val="26"/>
            <w:u w:val="single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</w:t>
        </w:r>
      </w:hyperlink>
      <w:r>
        <w:rPr>
          <w:sz w:val="26"/>
          <w:szCs w:val="26"/>
        </w:rPr>
        <w:t> (u daljnjem tekstu </w:t>
      </w:r>
      <w:r>
        <w:rPr>
          <w:rStyle w:val="Istaknuto"/>
          <w:sz w:val="26"/>
          <w:szCs w:val="26"/>
        </w:rPr>
        <w:t>Upute HZJZ-a</w:t>
      </w:r>
      <w:r>
        <w:rPr>
          <w:sz w:val="26"/>
          <w:szCs w:val="26"/>
        </w:rPr>
        <w:t>). U Uputama HZJZ-a nije predviđeno da učenici i učitelji nose maske niti rukavice, ali se predviđa rad u malim skupinama koje u pravilu nisu veće od 10 sudionika i one se maksimalno distanciraju od drugih skupina u školi. U istome su dokumentu dane vrlo detaljne upute o radu i uvjetima koji trebaju biti osigurani, stoga se ove </w:t>
      </w:r>
      <w:r>
        <w:rPr>
          <w:rStyle w:val="Istaknuto"/>
          <w:sz w:val="26"/>
          <w:szCs w:val="26"/>
        </w:rPr>
        <w:t>Preporuke</w:t>
      </w:r>
      <w:r>
        <w:rPr>
          <w:sz w:val="26"/>
          <w:szCs w:val="26"/>
        </w:rPr>
        <w:t> ne mogu razmatrati odvojeno od toga dokumenta.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>
            <wp:extent cx="5701168" cy="1490290"/>
            <wp:effectExtent l="0" t="0" r="0" b="0"/>
            <wp:docPr id="15" name="Slika 15" descr="https://skolazazivot.hr/wp-content/uploads/2020/04/1-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olazazivot.hr/wp-content/uploads/2020/04/1-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59" cy="14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Tijekom prva dva tjedana nastave u školi i odgojno-obrazovnog rada u dječjim vrtićima pratit će se proces i napraviti njegova evaluacija s pedagoškog, ali i epidemijskog stajališta te će se nakon tog perioda izraditi promjena uvjeta ako bude potrebno. Sukladno epidemiološkoj situaciji, bit će dane nove upute ili će se produžiti trajanje postojećih. U postavljenu grupu koja će početi s radom najranije 11. svibnja ne može se naknadno uvrstiti još jedno dijete, odnosno učenik, a ako je to izvedivo – ni učitelj. Odvajanje jedne grupe od druge, ključno je za osiguravanje sigurnosti učenika.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84196" cy="1959051"/>
            <wp:effectExtent l="0" t="0" r="0" b="3175"/>
            <wp:docPr id="14" name="Slika 14" descr="https://skolazazivot.hr/wp-content/uploads/2020/04/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olazazivot.hr/wp-content/uploads/2020/04/2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55" cy="1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Napomena:</w:t>
      </w:r>
      <w:r>
        <w:rPr>
          <w:sz w:val="26"/>
          <w:szCs w:val="26"/>
        </w:rPr>
        <w:t> U Republici Hrvatskoj je 916 matičnih osnovnih škola u kojima se izvodi razredna nastava (od kojih je 116 u Gradu Zagrebu), uz te škole vezano je 1149 područnih škola. U razrednoj nastavi ukupno su 9 903 razredna odjela. U prosjeku je 13,5 učenika po razrednom odjelu, a u školi je u prosjeku 11 razrednih odjela razredne nastave. Prosječna škola ima 3 razredna odjela po godištu. U Gradu Zagrebu u prosjeku je 20 učenika u jednom razrednom odjelu.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2" w:name="_Toc39144537"/>
      <w:bookmarkEnd w:id="2"/>
      <w:r>
        <w:rPr>
          <w:rFonts w:ascii="Arial" w:hAnsi="Arial" w:cs="Arial"/>
          <w:color w:val="333399"/>
        </w:rPr>
        <w:t>Organizacija nastave u mješovitom modelu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01279" cy="1501238"/>
            <wp:effectExtent l="0" t="0" r="0" b="3810"/>
            <wp:docPr id="13" name="Slika 13" descr="https://skolazazivot.hr/wp-content/uploads/2020/04/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olazazivot.hr/wp-content/uploads/2020/04/3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5" cy="15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Za vrijeme epidemije za učenike razredne nastave provodit će se poučavanje dijelom kao oblik nastave koju učenici pohađaju u školi, ali u promijenjenim uvjetima u odnosu na redovitu nastavu, a dijelom kao nastava na daljinu. Roditelji učenika imat će mogućnost izbora sukladno </w:t>
      </w:r>
      <w:r>
        <w:rPr>
          <w:rStyle w:val="Istaknuto"/>
          <w:sz w:val="26"/>
          <w:szCs w:val="26"/>
        </w:rPr>
        <w:t>Uputi HZJZ</w:t>
      </w:r>
      <w:r>
        <w:rPr>
          <w:sz w:val="26"/>
          <w:szCs w:val="26"/>
        </w:rPr>
        <w:t> da njihova djeca kompletnu nastavu prate putem nastave na daljinu.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 razrednoj nastavi u redovitom programu rade učitelji razredne nastave te učitelji stranog jezika i Vjeronauka, ali ponegdje i Informatike, Tjelesne i zdravstvene kulture te Glazbene kulture. Pored toga, u osnovnim školama radi i oko 2600 stručnih suradnika (pedagozi, psiholozi, knjižničari, edukatori-</w:t>
      </w:r>
      <w:proofErr w:type="spellStart"/>
      <w:r>
        <w:rPr>
          <w:sz w:val="26"/>
          <w:szCs w:val="26"/>
        </w:rPr>
        <w:t>rehabilitatori</w:t>
      </w:r>
      <w:proofErr w:type="spellEnd"/>
      <w:r>
        <w:rPr>
          <w:sz w:val="26"/>
          <w:szCs w:val="26"/>
        </w:rPr>
        <w:t>, socijalni pedagozi, logopedi i sl.). Svi navedeni profili zaposlenika trebaju sudjelovati u mješovitom modelu nastave na daljinu.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lastRenderedPageBreak/>
        <w:t>Paralelno s nastavom u školama, i dalje će se održavati nastava na daljinu čija je podloga Škola na Trećem zajedno s </w:t>
      </w:r>
      <w:hyperlink r:id="rId13" w:history="1">
        <w:r>
          <w:rPr>
            <w:rStyle w:val="Hiperveza"/>
            <w:color w:val="222222"/>
            <w:sz w:val="26"/>
            <w:szCs w:val="26"/>
          </w:rPr>
          <w:t>radnim materijalima – zadatcima i aktivnostima, koji su dostupni na mrežnim stranicama Škole za život.</w:t>
        </w:r>
      </w:hyperlink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Kako bismo omogućili kvalitetno obrazovanje svim učenicima (onima u školama i onima kod kuće) jednako usvajanje planiranih odgojno-obrazovnih ishoda, treba sinkronizirano raditi u školama i u Školi na Trećem. Takav mješoviti model nastave podrazumijeva usvajanje jednakih odgojno-obrazovnih ishoda i kod učenika u nastavi u školi i kod učenika u Školi na Trećem. Osobito treba paziti na usvajanje ključnih jezičnih, matematičkih i prirodoslovnih kompetencija, kao i na njihovo ujednačeno vrednovanje. Ovo podrazumijeva da se za Školu na Trećem popis nastavnih sadržaja i materijala objavljuje barem tri dana unaprijed.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 primjerenom obliku trebaju biti prisutni i predmeti s pretežito odgojnom komponentom. Izuzetak je nastava Tjelesne i zdravstvene kulture, prema </w:t>
      </w:r>
      <w:hyperlink r:id="rId14" w:history="1">
        <w:r>
          <w:rPr>
            <w:rStyle w:val="Istaknuto"/>
            <w:color w:val="222222"/>
            <w:sz w:val="26"/>
            <w:szCs w:val="26"/>
            <w:u w:val="single"/>
          </w:rPr>
          <w:t>Uputa HZJZ-a</w:t>
        </w:r>
      </w:hyperlink>
      <w:r>
        <w:rPr>
          <w:sz w:val="26"/>
          <w:szCs w:val="26"/>
        </w:rPr>
        <w:t> ta se nastava ne preporuča u zatvorenom prostru, ali se ne preporučaju ni intenzivne aktivnosti na otvorenom prostoru, odnosno one koje uključuju bliski fizički kontakt.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 provođenju nastavnoga procesa treba se pridržavati sljedećih pravila: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Odgojno-obrazovni ishodi trebali bi biti usklađeni u radu u učionici s nastavom u Školi na Trećem.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Metode poučavanja i aktivnosti za učenike mogu se razlikovati u modelu mješovite nastave za učenike u učionici i one kod kuće.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Zadaci koje učenici dobivaju trebaju biti slični s obzirom na vrijeme potrebno za izvođenje, zahtjevnost u izradi, povezanosti s odgojno-obrazovnim ishodima.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Domaće zadaće, uradci i zadaci trebaju biti jednaki i svi učenici ih moraju imati mogućnost predati učiteljima u izravnom kontaktu ili posredstvom roditelja i tehnologije.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Metode vrednovanja trebaju biti ujednačene za sve učenike u mješovitom modelu nastave.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Svim učenicima treba osigurati dostupnost poučavanja,  nastavnih materijala i potpore u učenju.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Učitelji pri tome upotrebljavaju </w:t>
      </w:r>
      <w:hyperlink r:id="rId15" w:history="1">
        <w:r>
          <w:rPr>
            <w:rStyle w:val="Hiperveza"/>
            <w:color w:val="222222"/>
            <w:sz w:val="26"/>
            <w:szCs w:val="26"/>
          </w:rPr>
          <w:t>materijale</w:t>
        </w:r>
      </w:hyperlink>
      <w:r>
        <w:rPr>
          <w:sz w:val="26"/>
          <w:szCs w:val="26"/>
        </w:rPr>
        <w:t> objavljene na </w:t>
      </w:r>
      <w:hyperlink r:id="rId16" w:history="1">
        <w:r>
          <w:rPr>
            <w:rStyle w:val="Hiperveza"/>
            <w:color w:val="222222"/>
            <w:sz w:val="26"/>
            <w:szCs w:val="26"/>
          </w:rPr>
          <w:t>Školi na Trećem</w:t>
        </w:r>
      </w:hyperlink>
      <w:r>
        <w:rPr>
          <w:sz w:val="26"/>
          <w:szCs w:val="26"/>
        </w:rPr>
        <w:t>, odabrane udžbenike i druge obrazovne materijale.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 xml:space="preserve">Prikupljanje, pregled i vrednovanje uradaka i zadataka učitelj treba redovito provoditi, i to na sličan način i prema jednakim kriterijima za sve učenike u mješovitom modelu nastave. </w:t>
      </w:r>
      <w:r>
        <w:rPr>
          <w:sz w:val="26"/>
          <w:szCs w:val="26"/>
        </w:rPr>
        <w:lastRenderedPageBreak/>
        <w:t>Međutim, to ne znači da se svaki dan svakom učeniku trebaju pregledati sve zadaće, već učitelj može odlučiti kad će koji učenici predati zadaće i za koje predmete.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306862" cy="7075657"/>
            <wp:effectExtent l="0" t="0" r="8255" b="0"/>
            <wp:docPr id="12" name="Slika 12" descr="https://skolazazivot.hr/wp-content/uploads/2020/04/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olazazivot.hr/wp-content/uploads/2020/04/4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92" cy="70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613814" cy="1462578"/>
            <wp:effectExtent l="0" t="0" r="6350" b="4445"/>
            <wp:docPr id="11" name="Slika 11" descr="https://skolazazivot.hr/wp-content/uploads/2020/04/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olazazivot.hr/wp-content/uploads/2020/04/5-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58" cy="14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3" w:name="_Toc39144538"/>
      <w:bookmarkEnd w:id="3"/>
      <w:r>
        <w:rPr>
          <w:rFonts w:ascii="Arial" w:hAnsi="Arial" w:cs="Arial"/>
          <w:color w:val="333399"/>
        </w:rPr>
        <w:t>Upute za vrednovanje i ocjenjivanje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Vrednovanje u razrednoj nastavi u mješovitom modelu nastave, kao i u nastavi na daljinu, treba biti usmjereno vrednovanju kao učenje i za učenje (formativnom vrednovanju) i davanju povratnih informacija učenicima koje ih ohrabruju i potiču na istraživanje i učenje, ocjenjivanje je, pritom, u drugom planu.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80488" cy="2001297"/>
            <wp:effectExtent l="0" t="0" r="0" b="0"/>
            <wp:docPr id="10" name="Slika 10" descr="https://skolazazivot.hr/wp-content/uploads/2020/04/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olazazivot.hr/wp-content/uploads/2020/04/6-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15" cy="20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Zaključna ocjena na kraju nastavne godine temelji se na ocjenama koje su učenici dobili tijekom cijele nastavne godine, uključujući i nastavu na daljinu, odnosno nastavu koja se izvodi u mješovitom modelu.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Sve odrednice iz </w:t>
      </w:r>
      <w:hyperlink r:id="rId20" w:history="1">
        <w:r>
          <w:rPr>
            <w:rStyle w:val="Istaknuto"/>
            <w:color w:val="222222"/>
            <w:sz w:val="26"/>
            <w:szCs w:val="26"/>
            <w:u w:val="single"/>
          </w:rPr>
          <w:t>Uputa za vrednovanje i ocjenjivanje tijekom nastave na daljinu</w:t>
        </w:r>
      </w:hyperlink>
      <w:r>
        <w:rPr>
          <w:sz w:val="26"/>
          <w:szCs w:val="26"/>
        </w:rPr>
        <w:t> primjenjuju se i u mješovitom modelu. Sažetak je dan na sljedećoj shemi: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764392" cy="3681550"/>
            <wp:effectExtent l="0" t="0" r="8255" b="0"/>
            <wp:docPr id="9" name="Slika 9" descr="https://skolazazivot.hr/wp-content/uploads/2020/04/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olazazivot.hr/wp-content/uploads/2020/04/7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87" cy="36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Konkretno, u gotovo svim predmetima može se vrednovati aktivnost učenika u diskusijama i domaćim zadaćama, aktivnost se može vrednovati i barem jednom ocjenom iz odgovarajućeg predmetnog područja. Nadalje, u gotovo svakom predmetu moguće je napraviti i jedan složeniji zadatak u obliku plakata, prezentacije, projekta, istraživačkog rada, kritičkog prikaza ili problemskog zadatka. Takav se rad može vrednovati rubrikom ili nekim drugim načinom koji jasno prikazuje elemente i kriterije vrednovanja. Dakle, barem dvije ocjene do kraja nastavne godine mogu dobiti svi učenici u gotovo svim predmetima u mješovitom modelu nastave bez obzira prate li nastavu kod kuće ili u školi.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Ono što treba posebno naglasiti je da sadržaji koje učitelji poučavaju i kasnije vrednuju trebaju biti usmjereni na bitno, a ne na sporedne detalje ili činjenice.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Inovativne metode vrednovanja uključuju izradu projekata, plakata, rješavanje problema, izradu e-</w:t>
      </w:r>
      <w:proofErr w:type="spellStart"/>
      <w:r>
        <w:rPr>
          <w:sz w:val="26"/>
          <w:szCs w:val="26"/>
        </w:rPr>
        <w:t>portfolija</w:t>
      </w:r>
      <w:proofErr w:type="spellEnd"/>
      <w:r>
        <w:rPr>
          <w:sz w:val="26"/>
          <w:szCs w:val="26"/>
        </w:rPr>
        <w:t>, jednostavnije istraživačke radove, praktične radove, projekte koje učenici rade samostalno ili u suradnji s drugim učenicima i sl. Za sve te metode učenicima je potrebna učiteljeva, ali i vršnjačka potpora, kao i postupnost u njihovoj izradi koju će pratiti i povratne informacije koje će se davati učeniku na različitim stupnjevima izrade.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hyperlink r:id="rId22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 xml:space="preserve"> učitelj u školi s djecom provodi što je više moguće vremena na otvorenom, što znači da se dio nastave (npr. Prirode i društva, Likovne kulture, Glazbene </w:t>
      </w:r>
      <w:r>
        <w:rPr>
          <w:sz w:val="26"/>
          <w:szCs w:val="26"/>
        </w:rPr>
        <w:lastRenderedPageBreak/>
        <w:t>kulture) može provoditi na školskom dvorištu, u vrtu ili parku, ali bez doticaja s drugom razrednom skupinom ili drugim osobama, pritom se ne preporuča izvođenje nastave Tjelesne i zdravstvene kulture.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4" w:name="_Toc39144539"/>
      <w:bookmarkEnd w:id="4"/>
      <w:r>
        <w:rPr>
          <w:rFonts w:ascii="Arial" w:hAnsi="Arial" w:cs="Arial"/>
          <w:color w:val="333399"/>
        </w:rPr>
        <w:t>Zaduženja učitelja u mješovitom obliku nastave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r>
        <w:rPr>
          <w:rStyle w:val="Istaknuto"/>
          <w:sz w:val="26"/>
          <w:szCs w:val="26"/>
        </w:rPr>
        <w:t>Pravilniku o tjednim ranim obvezama učitelja i stručnih suradnika u osnovnoj školi</w:t>
      </w:r>
      <w:r>
        <w:rPr>
          <w:sz w:val="26"/>
          <w:szCs w:val="26"/>
        </w:rPr>
        <w:t> učitelji u razrednoj nastavi imaju tjednu normu  od 16 sati nastave po predmetima, 1 sat razrednog odjela, 1 sat ostalih aktivnosti s učenicima, 1 sat dopunske nastave, 1 sat dodatne nastave i 1 sat izvannastavnih aktivnosti. To je ukupno 21 sat (u trajanju od 45 minuta) neposrednog odgojno-obrazovnog rada s učenicima.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Međutim, prema </w:t>
      </w:r>
      <w:hyperlink r:id="rId23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 sve aktivnosti se trebaju odvijati u jednoj grupi s jednim učiteljem i bez fizičkog kontakta te se stoga neće izvoditi izvannastavne aktivnosti, nastava Tjelesne i zdravstvene kulture izvodit će se u smanjenom opsegu, a vjerojatno i dopunska i dodatna nastava uživo ne daje svima jednake prilike za sudjelovanje. Također i sat dodatnih aktivnosti s učenicima teško će se provoditi u ovoj fazi. Svi ti sati mogu se uvrstiti u dio nastave na daljinu, što znači da učiteljima otvara mogućnost da se 5-6 sati tjedno posveti komunikaciji s roditeljima i učenicima koji su u nastavi na daljinu (u prosjeku 1 sat dnevno).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Neke aktivnosti koje su propisane školskim kurikulumom neće se provoditi (npr. izleti, ekskurzije, školske priredbe), a ni neki godišnji poslovi (npr. natjecanja učenika).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Ostale aktivnosti do 40-satnog radnog vremena uključuju stručno-metodičko pripremanje za neposredni odgojno-obrazovni rad s učenicima u mješovitom modelu nastave, ali i vrednovanje učeničkih postignuća.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7852" cy="1393850"/>
            <wp:effectExtent l="0" t="0" r="0" b="0"/>
            <wp:docPr id="8" name="Slika 8" descr="https://skolazazivot.hr/wp-content/uploads/2020/04/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olazazivot.hr/wp-content/uploads/2020/04/8-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81" cy="1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lastRenderedPageBreak/>
        <w:t>Stručni suradnici trebaju pružiti podršku učiteljima u procesu pripreme za provođenje mješovitog modela nastave, a posebno u radu s učenicima s posebnim odgojno-obrazovnim potrebama.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Broj učenika u razredu u mješovitom modelu i razredu u školi (prije 16. svibnja) ostaje jednak.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hyperlink r:id="rId25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 za jednu grupu djece brine jedan učitelj odnosno dva u slučaju produženog boravka u školi, ali bez „preklapanja“. To znači da učenici u razrednoj nastavi neće u učionicama imati nastavu za predmete koje ne predaje njihov učitelj razredne nastave (strani jezik, izborne i fakultativne predmete).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5" w:name="_Toc39144540"/>
      <w:bookmarkEnd w:id="5"/>
      <w:r>
        <w:rPr>
          <w:rFonts w:ascii="Arial" w:hAnsi="Arial" w:cs="Arial"/>
          <w:color w:val="333399"/>
        </w:rPr>
        <w:t>Organizacija nastave u školi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Iz </w:t>
      </w:r>
      <w:hyperlink r:id="rId26" w:history="1">
        <w:r>
          <w:rPr>
            <w:rStyle w:val="Istaknuto"/>
            <w:color w:val="222222"/>
            <w:sz w:val="26"/>
            <w:szCs w:val="26"/>
            <w:u w:val="single"/>
          </w:rPr>
          <w:t>Uputa HZJZ-a</w:t>
        </w:r>
      </w:hyperlink>
      <w:r>
        <w:rPr>
          <w:sz w:val="26"/>
          <w:szCs w:val="26"/>
        </w:rPr>
        <w:t> proizlaze sljedeće preporuke: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 xml:space="preserve">Kako bi se osigurao što manji protok i doticaj učenika, razredni odjeli neće početi s nastavom u isto vrijeme. Npr. škola može napraviti intervale od 10 ili 15 minuta u kojima učenici dolaze pa bi tako učenici prvog razreda počeli između 8:00 i 8:20 ukoliko škola ima tri prva razredna odjela (A razred u 8:00; B razred u 8:20 i C razred u 8:20); učenici drugog razreda bi krenuli s nastavom između 8:20 i 8:40 ukoliko također imaju tri razredna odjela, itd. Škole u pravilu imaju više od jednog ulaza pa učenici mogu ulaziti na različite ulaze, tako se može </w:t>
      </w:r>
      <w:proofErr w:type="spellStart"/>
      <w:r>
        <w:t>ispoštovati</w:t>
      </w:r>
      <w:proofErr w:type="spellEnd"/>
      <w:r>
        <w:t> </w:t>
      </w:r>
      <w:r>
        <w:rPr>
          <w:rStyle w:val="Istaknuto"/>
        </w:rPr>
        <w:t>Uputa HZJZ-a</w:t>
      </w:r>
      <w:r>
        <w:t>, a učenici bi bili u školi do 9:00. Ovo je samo primjer i svaka škola treba napraviti raspored koji je za nju primjeren. Ovakav raspored treba uskladiti i s produženim boravkom, gdje on postoji, kako bi djeca bila zbrinuta u predviđenom vremenskom rasponu.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Razredni odjeli neće imati školske odmore u isto vrijeme nego s određenim razmakom, a u skladu s vremenom u kojem su započeli s nastavom. Mali odmor učenici mogu provesti u svojoj učionici ili izaći na školsko dvorište uz primjerenu fizičku udaljenost od drugih razrednih odjela.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Veliki odmor na kojem se dijeli hrana također neće biti u isto vrijeme za sve razredne odjele. Preporuča se hranu odmah pripremiti za konzumaciju i podijeliti ju učenicima u učionici ili na otvorenom prostoru škole ako je to moguće.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Izvannastavne aktivnosti ne održavaju se u školama.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 xml:space="preserve">Za sve učitelje epidemiolozi HZJZ će održati </w:t>
      </w:r>
      <w:proofErr w:type="spellStart"/>
      <w:r>
        <w:t>webinar</w:t>
      </w:r>
      <w:proofErr w:type="spellEnd"/>
      <w:r>
        <w:t xml:space="preserve"> o </w:t>
      </w:r>
      <w:r>
        <w:rPr>
          <w:rStyle w:val="Istaknuto"/>
        </w:rPr>
        <w:t>Uputama HZJZ-a</w:t>
      </w:r>
      <w:r>
        <w:t>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Prvi dan nastave u školi treba započeti uputama učenicima kako se ponašati, prati ruke, održavati fizički razmak i sl.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Isti učitelj će raditi s istim razrednim odjelom cijelo vrijeme ako je to moguće. Što znači da se predmeti koje izvode predmetni učitelji i dalje izvode u nastavi na daljinu.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Ne preporučuje se izvođenje nastave Tjelesne i zdravstvene kulture na zatvorenom prostoru i ne preporučuju se intenzivne tjelesne aktivnosti. Dakle, broj sati nastave Tjelesne i zdravstvene kulture će biti smanjen, ali svakako treba s učenicima napraviti jednostavne vježbe razgibavanja u trajanju od 5 minuta.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Učenici u školi u prosjeku provedu od 3 do 4 školska sata, osim onih koji su u produženom boravku.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lastRenderedPageBreak/>
        <w:t xml:space="preserve">Nije preporučljivo da roditelji ulaze u prostor škole pa se informacije i roditeljski sastanci mogu obaviti telefonskim putem ili </w:t>
      </w:r>
      <w:proofErr w:type="spellStart"/>
      <w:r>
        <w:t>videopozivom</w:t>
      </w:r>
      <w:proofErr w:type="spellEnd"/>
      <w:r>
        <w:t>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6" w:name="_Toc39144541"/>
      <w:bookmarkEnd w:id="6"/>
      <w:r>
        <w:rPr>
          <w:rFonts w:ascii="Arial" w:hAnsi="Arial" w:cs="Arial"/>
          <w:color w:val="333399"/>
        </w:rPr>
        <w:t>Roditelji i škola u krugu povjerenja za učenje i dobrobit učenika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Roditelji su dužni pažljivo pročitati </w:t>
      </w:r>
      <w:hyperlink r:id="rId27" w:history="1">
        <w:r>
          <w:rPr>
            <w:rStyle w:val="Istaknuto"/>
            <w:color w:val="222222"/>
            <w:sz w:val="26"/>
            <w:szCs w:val="26"/>
            <w:u w:val="single"/>
          </w:rPr>
          <w:t>Upute HZJZ</w:t>
        </w:r>
        <w:r>
          <w:rPr>
            <w:rStyle w:val="Hiperveza"/>
            <w:color w:val="222222"/>
            <w:sz w:val="26"/>
            <w:szCs w:val="26"/>
          </w:rPr>
          <w:t>-a</w:t>
        </w:r>
      </w:hyperlink>
      <w:r>
        <w:rPr>
          <w:sz w:val="26"/>
          <w:szCs w:val="26"/>
        </w:rPr>
        <w:t> kako bi uočili koji učenici ne smiju u školu te za koje se kategorije ne preporuča dolazak u školu u ovoj fazi. Ravnatelji i učitelji trebaju biti kontaktu s roditeljima te im dati sve potrebne informacije kako bi se pravovremeno utvrdilo koji će učenici moći pohađati nastavu u školama prva dva tjedna. Ukoliko imaju dvojbi, roditelji trebaju kontaktirati nadležnog obiteljskog liječnika, a škole se mogu obratiti nadležnim epidemiološkim službama.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Ukoliko je broj učenika koji su prijavljeni za dolazak u pojedini razredni odjel prekobrojan i ne postoji mogućnost da se osposobi novi razredni odjel, ravnatelj treba postaviti prioritete prema kojima će učenici biti na nastavi u školama od 11. svibnja. Prioritet su djeca čija oba roditelja/staratelja rade izvan kuće  i nemaju druge mogućnosti zbrinjavanja djece.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Roditelji su značajna karika u krugu povjerenja za učenje, ali i za podršku učeniku u općem razvoju, usvajanju vrijednosti i odgoja u cjelini. Međutim, u nastavi na daljinu te u mješovitom modelu nastave imaju posebnu ulogu, a posebice kod djece koja su u razrednoj nastavi jer trebaju usko surađivati s učiteljima i stručnim suradnicima u školi. Pritom roditelji ne mogu i ne smiju preuzeti ulogu učitelja.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:rsidR="00FB2AE8" w:rsidRDefault="00FB2AE8" w:rsidP="00FB2AE8">
      <w:pPr>
        <w:pStyle w:val="Naslov3"/>
        <w:spacing w:before="0" w:beforeAutospacing="0" w:after="300" w:afterAutospacing="0"/>
        <w:rPr>
          <w:rFonts w:ascii="Arial" w:hAnsi="Arial" w:cs="Arial"/>
        </w:rPr>
      </w:pPr>
      <w:bookmarkStart w:id="7" w:name="_Toc39144542"/>
      <w:bookmarkEnd w:id="7"/>
      <w:r>
        <w:rPr>
          <w:rFonts w:ascii="Arial" w:hAnsi="Arial" w:cs="Arial"/>
          <w:color w:val="333399"/>
        </w:rPr>
        <w:t>Naglasci za roditelje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 xml:space="preserve">Preporuča se ostanak kod kuće djece s kroničnim bolestima (respiratornim, kardiovaskularnim, dijabetesom, malignim bolestima, </w:t>
      </w:r>
      <w:proofErr w:type="spellStart"/>
      <w:r>
        <w:t>imunodeficijencijama</w:t>
      </w:r>
      <w:proofErr w:type="spellEnd"/>
      <w:r>
        <w:t xml:space="preserve">, djece s većim </w:t>
      </w:r>
      <w:r>
        <w:lastRenderedPageBreak/>
        <w:t>tjelesnim/motoričkim oštećenjima) kao i djece čiji roditelji/skrbnici ili ukućani imaju jednu od navedenih bolesti.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Potiče se ostanak kod kuće sve djece za koju se to može osigurati skrb kod kuće, s obzirom da broj djece u vrtićima i školama može biti takav da se mjere fizičkog razmaka u tim kolektivima neće moći poštovati.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Učenik dolazi i odlazi iz škole sa školskom torbom, ako nije omogućeno zadržavanje torbe u školi, te svoju opremu i pribor ne dijeli s drugim učenicama.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Ako je moguće organizirati, roditelj donosi i odnosi u dječji vrtić obilježeni ruksak s opremom isključivo petkom (posljednji radni dan u tjednu) kada dolazi po dijete.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Roditelj/skrbnik dovodi i odvodi dijete iz ustanove na način da je u pratnji jednog djeteta uvijek jedna odrasla osoba/roditelj/skrbnik.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je god moguće, u pratnji pojedinog dijeta uvijek je ista osoba ili se izmjenjuju dvije odrasle osobe.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god je moguće, u pratnji djeteta treba biti odrasla osoba koja zbog starije životne dobi (65 i više godina) ili kronične bolesti ne spada u rizičnu skupinu na obolijevanje od COVID -19.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Roditelji se ne okupljaju na ulazu.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Roditelj/skrbnik potvrđuje pisanom izjavom ravnatelju ustanove prije uključivanja djeteta u ustanovu da dijete nama simptome i bolesti, odnosno da nije u riziku, te da se radi o djetetu s oba zaposlena roditelja i to da je roditelj upoznat s Uputama HZJZ-a u cjelini.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14398" cy="3609599"/>
            <wp:effectExtent l="0" t="0" r="0" b="0"/>
            <wp:docPr id="7" name="Slika 7" descr="https://skolazazivot.hr/wp-content/uploads/2020/04/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kolazazivot.hr/wp-content/uploads/2020/04/9-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18" cy="36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8" w:name="_Toc39144543"/>
      <w:bookmarkEnd w:id="8"/>
      <w:r>
        <w:rPr>
          <w:rFonts w:ascii="Arial" w:hAnsi="Arial" w:cs="Arial"/>
          <w:color w:val="333399"/>
        </w:rPr>
        <w:t>Učenici s teškoćama koji imaju pomoćnika u nastavi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hyperlink r:id="rId29" w:history="1">
        <w:r>
          <w:rPr>
            <w:rStyle w:val="Istaknuto"/>
            <w:color w:val="222222"/>
            <w:sz w:val="26"/>
            <w:szCs w:val="26"/>
            <w:u w:val="single"/>
          </w:rPr>
          <w:t>Pravilniku o osnovnoškolskom i srednjoškolskom odgoju i obrazovanju učenika s teškoćama u razvoju</w:t>
        </w:r>
      </w:hyperlink>
      <w:r>
        <w:rPr>
          <w:rStyle w:val="Istaknuto"/>
          <w:sz w:val="26"/>
          <w:szCs w:val="26"/>
        </w:rPr>
        <w:t>  </w:t>
      </w:r>
      <w:r>
        <w:rPr>
          <w:sz w:val="26"/>
          <w:szCs w:val="26"/>
        </w:rPr>
        <w:t>(NN 24/2015) postoji sedam skupina teškoća (oštećenja vida, oštećenja sluha, oštećenja jezično-govorne-glasovne komunikacije i specifične teškoće u učenju, oštećenja organa i organskih sustava, intelektualne teškoće, poremećaji u ponašanju i oštećenja mentalnog zdravlja, postojanje više vrsta teškoća u psihofizičkom razvoju). Kod djece kojima je prethodno osigurana podrška pomoćnika u nastavi (PUN), može se osigurati njihovo uključivanju u školu uz podršku PUN-a, isključivo ako roditelj/skrbnik nikako nije u mogućnosti organizirati ostanak djeteta kod kuće, uz izuzetak djece s bolestima/zdravstvenim stanjima koja su navedena u </w:t>
      </w:r>
      <w:hyperlink r:id="rId30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. Preporuča se i savjetovanje s nadležnim školskim liječnikom oko specifičnih pitanja vezanih uz zdravstveno stanje i obrazovanje učenika u ovim okolnostima.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Ukoliko se učenik s teškoćama upućuje u razredni odjel, PUN se ubraja u ukupan broj osoba u odgojno-obrazovnoj skupini koja ne treba prelaziti ukupan broj preporučen u ovim uputama (do ukupno 10 djece i odraslih), a PUN se treba pridržavati svega navedenog u </w:t>
      </w:r>
      <w:hyperlink r:id="rId31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Ukoliko se učenik s teškoćama ne upućuje u razredni odjel (jer nije u razrednoj nastavi), škola mu je dužna osiguravati primjerni prostor za nastavu na daljinu.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876125" cy="1340154"/>
            <wp:effectExtent l="0" t="0" r="0" b="0"/>
            <wp:docPr id="6" name="Slika 6" descr="https://skolazazivot.hr/wp-content/uploads/2020/04/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olazazivot.hr/wp-content/uploads/2020/04/10-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4" cy="13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9" w:name="_Toc39144544"/>
      <w:bookmarkEnd w:id="9"/>
      <w:r>
        <w:rPr>
          <w:rFonts w:ascii="Arial" w:hAnsi="Arial" w:cs="Arial"/>
          <w:color w:val="333399"/>
        </w:rPr>
        <w:t>Obaveze ravnatelja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Ravnatelji temeljem ovih </w:t>
      </w:r>
      <w:r>
        <w:rPr>
          <w:rStyle w:val="Istaknuto"/>
          <w:sz w:val="26"/>
          <w:szCs w:val="26"/>
        </w:rPr>
        <w:t>Preporuka</w:t>
      </w:r>
      <w:r>
        <w:rPr>
          <w:sz w:val="26"/>
          <w:szCs w:val="26"/>
        </w:rPr>
        <w:t>, ali i </w:t>
      </w:r>
      <w:r>
        <w:rPr>
          <w:rStyle w:val="Istaknuto"/>
          <w:sz w:val="26"/>
          <w:szCs w:val="26"/>
        </w:rPr>
        <w:t>Uputa HZJZ-a</w:t>
      </w:r>
      <w:r>
        <w:rPr>
          <w:sz w:val="26"/>
          <w:szCs w:val="26"/>
        </w:rPr>
        <w:t> imaju zadaće u procesu pripreme za otvaranje škola i kod otvaranja škola.</w:t>
      </w:r>
    </w:p>
    <w:tbl>
      <w:tblPr>
        <w:tblW w:w="963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9"/>
        <w:gridCol w:w="4791"/>
      </w:tblGrid>
      <w:tr w:rsidR="00FB2AE8" w:rsidTr="00FB2AE8">
        <w:trPr>
          <w:trHeight w:val="7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:rsidR="00FB2AE8" w:rsidRDefault="00FB2AE8">
            <w:pPr>
              <w:jc w:val="center"/>
              <w:rPr>
                <w:b/>
                <w:bCs/>
              </w:rPr>
            </w:pPr>
            <w:r>
              <w:rPr>
                <w:rStyle w:val="Naglaeno"/>
              </w:rPr>
              <w:t>Prije otvaranja škola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:rsidR="00FB2AE8" w:rsidRDefault="00FB2AE8">
            <w:pPr>
              <w:jc w:val="center"/>
              <w:rPr>
                <w:b/>
                <w:bCs/>
              </w:rPr>
            </w:pPr>
            <w:r>
              <w:rPr>
                <w:rStyle w:val="Naglaeno"/>
              </w:rPr>
              <w:t>Kod otvaranja škola</w:t>
            </w:r>
          </w:p>
        </w:tc>
      </w:tr>
      <w:tr w:rsidR="00FB2AE8" w:rsidTr="00FB2AE8">
        <w:trPr>
          <w:trHeight w:val="10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Temeljem </w:t>
            </w:r>
            <w:hyperlink r:id="rId33" w:history="1">
              <w:r>
                <w:rPr>
                  <w:rStyle w:val="Istaknuto"/>
                  <w:b/>
                  <w:bCs/>
                  <w:color w:val="222222"/>
                  <w:u w:val="single"/>
                </w:rPr>
                <w:t>Uputa HZJZ-a</w:t>
              </w:r>
            </w:hyperlink>
            <w:r>
              <w:t> i Preporuka MZO-a trebaju izraditi Provedbeni plan otvaranja škole.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prihvat učenika na ulazima u školu prema utvrđenom rasporedu.</w:t>
            </w:r>
          </w:p>
        </w:tc>
      </w:tr>
      <w:tr w:rsidR="00FB2AE8" w:rsidTr="00FB2AE8">
        <w:trPr>
          <w:trHeight w:val="96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Održati virtualne sastanke s učiteljima i ostalim zaposlenima da se raspravi provedbeni plan i definiraju obaveze.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Na početku nastave održati edukaciju za učenike na jednostavan i prikladan način.</w:t>
            </w:r>
          </w:p>
        </w:tc>
      </w:tr>
      <w:tr w:rsidR="00FB2AE8" w:rsidTr="00FB2AE8">
        <w:trPr>
          <w:trHeight w:val="17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Uz podršku osnivača osigurati materijalne uvjete (sredstvo za pranje i održavanje i sl. prema </w:t>
            </w:r>
            <w:r>
              <w:rPr>
                <w:rStyle w:val="Istaknuto"/>
              </w:rPr>
              <w:t>Uputama HZJZ</w:t>
            </w:r>
            <w:r>
              <w:t>-a). Javiti se lokanim stožerima civilne zaštite da se školama dostave sredstva za dezinfekciju i čišćenje, ako je potrebno.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redovito pranje ruku i osigurati redovitu nabavu sredstva za dezinfekciju i čišćenje, materijalnim sredstvima koje osigurava osnivač i preko lokalnih stožera, ako je potrebno.</w:t>
            </w:r>
          </w:p>
        </w:tc>
      </w:tr>
      <w:tr w:rsidR="00FB2AE8" w:rsidTr="00FB2AE8">
        <w:trPr>
          <w:trHeight w:val="136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Osigurati provedbu preporuka MZO-a.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Vježbati s učenicima gdje se kreću, kako se koriste odmori, dijeli hrana, izlazi na dvorište i na igrališta. Također vježbati evakuaciju u slučaju potresa.</w:t>
            </w:r>
          </w:p>
        </w:tc>
      </w:tr>
      <w:tr w:rsidR="00FB2AE8" w:rsidTr="00FB2AE8">
        <w:trPr>
          <w:trHeight w:val="14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Obvezati stručne suradnike za koordinaciju aktivnosti učenika s teškoćama, ali i drugih učenika koji pripadaju podzastupljenim i ranjivim skupinama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da stručni suradnici rade s učiteljima i učenicima, posebno s učenicima s teškoćama, PUN-ovima, ali i da se uoče potrebe ostalih podzastupljenih i ranjivih skupina.</w:t>
            </w:r>
          </w:p>
        </w:tc>
      </w:tr>
      <w:tr w:rsidR="00FB2AE8" w:rsidTr="00FB2AE8">
        <w:trPr>
          <w:trHeight w:val="322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lastRenderedPageBreak/>
              <w:t>Obvezati učitelje i stručne suradnike da kontaktiraju roditelje kako bi se utvrdilo koji će učenici doći u školu 11. svibnja.</w:t>
            </w:r>
          </w:p>
          <w:p w:rsidR="00FB2AE8" w:rsidRDefault="00FB2AE8">
            <w:pPr>
              <w:pStyle w:val="StandardWeb"/>
              <w:spacing w:before="0" w:beforeAutospacing="0" w:line="422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Roditelj potvrđuje pisanom izjavom ravnatelju ustanove prije uključivanja djeteta u ustanovu da dijete nama simptome i bolesti, odnosno da nije u riziku, te da se radi o djetetu s oba zaposlena roditelja i to da je roditelj upoznat s Uputama HZJZ u cjelini.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Osigurati provjetravanje i čišćenje prostora koje obavljaju spremači i domari.</w:t>
            </w:r>
          </w:p>
        </w:tc>
      </w:tr>
      <w:tr w:rsidR="00FB2AE8" w:rsidTr="00FB2AE8">
        <w:trPr>
          <w:trHeight w:val="10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da svi zaposlenici, a posebno učitelji, dobiju potrebne upute i edukaciju (</w:t>
            </w:r>
            <w:proofErr w:type="spellStart"/>
            <w:r>
              <w:t>webinar</w:t>
            </w:r>
            <w:proofErr w:type="spellEnd"/>
            <w:r>
              <w:t xml:space="preserve"> HZJZ-a).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Provjeriti jesu li osigurana materijalna sredstva za rad, materijali za učenje i poučavanje.</w:t>
            </w:r>
          </w:p>
        </w:tc>
      </w:tr>
      <w:tr w:rsidR="00FB2AE8" w:rsidTr="00FB2AE8">
        <w:trPr>
          <w:trHeight w:val="105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Osigurati administrativno-tehničku potporu kada se škola otvori.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Voditi evidenciju o mjerenju tjelesne temperature zaposlenika (Upute HZJZ)</w:t>
            </w:r>
          </w:p>
        </w:tc>
      </w:tr>
      <w:tr w:rsidR="00FB2AE8" w:rsidTr="00FB2AE8">
        <w:trPr>
          <w:trHeight w:val="13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Poslati jasne upute roditeljima o dnevnoj rutini (npr. mjerenje tjelesne temperature svako jutro) dovođenju djece te higijenskim standardima u školama.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Redovito prikupljati podatke o stanju i po potrebi revidirati i dopuniti Provedbeni plan.</w:t>
            </w:r>
          </w:p>
        </w:tc>
      </w:tr>
    </w:tbl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Ravnatelji će u tom procesu imati potporu Ministarstva znanosti i obrazovanja, osnivača, nacionalnog i lokalnih stožera civilne zaštite. Ministarstvo će redovito objavljivati i odgovore na često postavljana pitanja.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10" w:name="_Toc39144545"/>
      <w:bookmarkEnd w:id="10"/>
      <w:r>
        <w:rPr>
          <w:rFonts w:ascii="Arial" w:hAnsi="Arial" w:cs="Arial"/>
          <w:color w:val="333399"/>
        </w:rPr>
        <w:t>Usporedba s teoretskim okvirom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 Okviru za otvorenje škola (UNESCO, travanj, 2020.) nužno je kod ponovnog otvaranja škola voditi računa o četiri aspekta: sigurnosnom okviru, načinu učenja i poučavanja, uključivanju marginaliziranih skupina i cjeloviti razvoj učenika. U tom kontekstu mi smo svaki od ovih aspekata adresirali.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Sigurnosni okvir</w:t>
      </w:r>
      <w:r>
        <w:rPr>
          <w:sz w:val="26"/>
          <w:szCs w:val="26"/>
        </w:rPr>
        <w:t> – </w:t>
      </w:r>
      <w:hyperlink r:id="rId34" w:history="1">
        <w:r>
          <w:rPr>
            <w:rStyle w:val="Istaknuto"/>
            <w:color w:val="222222"/>
            <w:sz w:val="26"/>
            <w:szCs w:val="26"/>
            <w:u w:val="single"/>
          </w:rPr>
          <w:t>Upute HZJZ-a</w:t>
        </w:r>
      </w:hyperlink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Učenje i poučavanje</w:t>
      </w:r>
      <w:r>
        <w:rPr>
          <w:sz w:val="26"/>
          <w:szCs w:val="26"/>
        </w:rPr>
        <w:t> – Ove preporuke i upute uz preporuke i upute do sada objavljene na mrežnim stranicama MZO-a i Škole za život.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Uključivanje marginaliziranih skupina</w:t>
      </w:r>
      <w:r>
        <w:rPr>
          <w:sz w:val="26"/>
          <w:szCs w:val="26"/>
        </w:rPr>
        <w:t> – omogućavanje vraćanja u škole učenika s teškoćama temeljem zahtjeva roditelja, ali i kod vraćanja učenika u škole prioritet imaju učenici razredne nastave o kojima nema tko skrbiti kod kuće jer roditelji rade.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lastRenderedPageBreak/>
        <w:t>Cjeloviti razvoj učenika</w:t>
      </w:r>
      <w:r>
        <w:rPr>
          <w:sz w:val="26"/>
          <w:szCs w:val="26"/>
        </w:rPr>
        <w:t> – posebno naglašen u svim objavljenim uputama i preporukama MZO-a, kao i u odgovorim na često postavljana pitanja objavljenima na </w:t>
      </w:r>
      <w:hyperlink r:id="rId35" w:tgtFrame="_blank" w:history="1">
        <w:r>
          <w:rPr>
            <w:rStyle w:val="Hiperveza"/>
            <w:color w:val="222222"/>
            <w:sz w:val="26"/>
            <w:szCs w:val="26"/>
          </w:rPr>
          <w:t>www.mzo.hr</w:t>
        </w:r>
      </w:hyperlink>
      <w:r>
        <w:rPr>
          <w:sz w:val="26"/>
          <w:szCs w:val="26"/>
        </w:rPr>
        <w:t> i </w:t>
      </w:r>
      <w:hyperlink r:id="rId36" w:tgtFrame="_blank" w:history="1">
        <w:r>
          <w:rPr>
            <w:rStyle w:val="Hiperveza"/>
            <w:color w:val="222222"/>
            <w:sz w:val="26"/>
            <w:szCs w:val="26"/>
          </w:rPr>
          <w:t>www.skolazazivot.hr</w:t>
        </w:r>
      </w:hyperlink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11" w:name="_Toc39144546"/>
      <w:bookmarkStart w:id="12" w:name="_Toc39005157"/>
      <w:bookmarkEnd w:id="11"/>
      <w:bookmarkEnd w:id="12"/>
      <w:r>
        <w:rPr>
          <w:rFonts w:ascii="Arial" w:hAnsi="Arial" w:cs="Arial"/>
          <w:color w:val="333399"/>
        </w:rPr>
        <w:t>Reference</w:t>
      </w:r>
    </w:p>
    <w:p w:rsidR="00FB2AE8" w:rsidRDefault="009B7E9D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37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nastavu.</w:t>
        </w:r>
      </w:hyperlink>
      <w:r w:rsidR="00FB2AE8">
        <w:rPr>
          <w:sz w:val="26"/>
          <w:szCs w:val="26"/>
        </w:rPr>
        <w:t> Hrvatski zavod za javno zdravstvo. 30. travanja 2020.</w:t>
      </w:r>
    </w:p>
    <w:p w:rsidR="00FB2AE8" w:rsidRDefault="009B7E9D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38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Upute za vrednovanje i ocjenjivanje tijekom nastave na daljinu</w:t>
        </w:r>
      </w:hyperlink>
      <w:r w:rsidR="00FB2AE8">
        <w:rPr>
          <w:sz w:val="26"/>
          <w:szCs w:val="26"/>
        </w:rPr>
        <w:t>, MZO, travanj 2020.</w:t>
      </w:r>
    </w:p>
    <w:p w:rsidR="00FB2AE8" w:rsidRDefault="009B7E9D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39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Pravilnik o tjednim radnim obavezama učitelja i stručnih suradnika u osnovnoj školi</w:t>
        </w:r>
      </w:hyperlink>
      <w:r w:rsidR="00FB2AE8">
        <w:rPr>
          <w:sz w:val="26"/>
          <w:szCs w:val="26"/>
        </w:rPr>
        <w:t> (NN, broj 34/14, 40/14, 103/14 i 102/19)</w:t>
      </w:r>
    </w:p>
    <w:p w:rsidR="00FB2AE8" w:rsidRDefault="009B7E9D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40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Pravilniku o osnovnoškolskom i srednjoškolskom odgoju i obrazovanju učenika s teškoćama u razvoju </w:t>
        </w:r>
        <w:r w:rsidR="00FB2AE8">
          <w:rPr>
            <w:rStyle w:val="Hiperveza"/>
            <w:color w:val="222222"/>
            <w:sz w:val="26"/>
            <w:szCs w:val="26"/>
          </w:rPr>
          <w:t> </w:t>
        </w:r>
      </w:hyperlink>
      <w:r w:rsidR="00FB2AE8">
        <w:rPr>
          <w:sz w:val="26"/>
          <w:szCs w:val="26"/>
        </w:rPr>
        <w:t>(NN 24/2015)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Okvir za ponovno otvaranje škola</w:t>
      </w:r>
      <w:r>
        <w:rPr>
          <w:sz w:val="26"/>
          <w:szCs w:val="26"/>
        </w:rPr>
        <w:t xml:space="preserve"> koje su sastavili UNICEF, UNESCO, World </w:t>
      </w:r>
      <w:proofErr w:type="spellStart"/>
      <w:r>
        <w:rPr>
          <w:sz w:val="26"/>
          <w:szCs w:val="26"/>
        </w:rPr>
        <w:t>Food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Programme</w:t>
      </w:r>
      <w:proofErr w:type="spellEnd"/>
      <w:r>
        <w:rPr>
          <w:sz w:val="26"/>
          <w:szCs w:val="26"/>
        </w:rPr>
        <w:t xml:space="preserve"> i Svjetska banka, </w:t>
      </w:r>
      <w:hyperlink r:id="rId41" w:history="1">
        <w:r>
          <w:rPr>
            <w:rStyle w:val="Istaknuto"/>
            <w:color w:val="222222"/>
            <w:sz w:val="26"/>
            <w:szCs w:val="26"/>
            <w:u w:val="single"/>
          </w:rPr>
          <w:t xml:space="preserve">Framework for </w:t>
        </w:r>
        <w:proofErr w:type="spellStart"/>
        <w:r>
          <w:rPr>
            <w:rStyle w:val="Istaknuto"/>
            <w:color w:val="222222"/>
            <w:sz w:val="26"/>
            <w:szCs w:val="26"/>
            <w:u w:val="single"/>
          </w:rPr>
          <w:t>reopening</w:t>
        </w:r>
        <w:proofErr w:type="spellEnd"/>
        <w:r>
          <w:rPr>
            <w:rStyle w:val="Istaknuto"/>
            <w:color w:val="222222"/>
            <w:sz w:val="26"/>
            <w:szCs w:val="26"/>
            <w:u w:val="single"/>
          </w:rPr>
          <w:t xml:space="preserve"> </w:t>
        </w:r>
        <w:proofErr w:type="spellStart"/>
        <w:r>
          <w:rPr>
            <w:rStyle w:val="Istaknuto"/>
            <w:color w:val="222222"/>
            <w:sz w:val="26"/>
            <w:szCs w:val="26"/>
            <w:u w:val="single"/>
          </w:rPr>
          <w:t>schools</w:t>
        </w:r>
        <w:proofErr w:type="spellEnd"/>
      </w:hyperlink>
      <w:r>
        <w:rPr>
          <w:sz w:val="26"/>
          <w:szCs w:val="26"/>
        </w:rPr>
        <w:t>. travanj, 2020.</w:t>
      </w:r>
    </w:p>
    <w:p w:rsidR="00FB2AE8" w:rsidRDefault="009B7E9D" w:rsidP="00FB2AE8">
      <w:r>
        <w:pict>
          <v:rect id="_x0000_i1025" style="width:0;height:0" o:hralign="center" o:hrstd="t" o:hr="t" fillcolor="#a0a0a0" stroked="f"/>
        </w:pict>
      </w:r>
    </w:p>
    <w:p w:rsidR="00FB2AE8" w:rsidRDefault="00FB2AE8" w:rsidP="00FB2AE8">
      <w:pPr>
        <w:rPr>
          <w:color w:val="272727"/>
          <w:sz w:val="26"/>
          <w:szCs w:val="26"/>
        </w:rPr>
      </w:pPr>
      <w:r>
        <w:rPr>
          <w:rStyle w:val="ssba-share-text"/>
          <w:color w:val="272727"/>
          <w:sz w:val="26"/>
          <w:szCs w:val="26"/>
        </w:rPr>
        <w:t>Podijelite članak:</w:t>
      </w:r>
      <w:r>
        <w:rPr>
          <w:noProof/>
          <w:color w:val="222222"/>
          <w:sz w:val="26"/>
          <w:szCs w:val="26"/>
        </w:rPr>
        <w:drawing>
          <wp:inline distT="0" distB="0" distL="0" distR="0">
            <wp:extent cx="612140" cy="612140"/>
            <wp:effectExtent l="0" t="0" r="0" b="0"/>
            <wp:docPr id="5" name="Slika 5" descr="Share on Facebook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are on Facebook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inline distT="0" distB="0" distL="0" distR="0">
            <wp:extent cx="612140" cy="612140"/>
            <wp:effectExtent l="0" t="0" r="0" b="0"/>
            <wp:docPr id="4" name="Slika 4" descr="Tweet about this on Twitter">
              <a:hlinkClick xmlns:a="http://schemas.openxmlformats.org/drawingml/2006/main" r:id="rId44" tgtFrame="&quot;&quot;_blank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eet about this on Twitter">
                      <a:hlinkClick r:id="rId44" tgtFrame="&quot;&quot;_blank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inline distT="0" distB="0" distL="0" distR="0">
            <wp:extent cx="612140" cy="612140"/>
            <wp:effectExtent l="0" t="0" r="0" b="0"/>
            <wp:docPr id="2" name="Slika 2" descr="Share on LinkedIn">
              <a:hlinkClick xmlns:a="http://schemas.openxmlformats.org/drawingml/2006/main" r:id="rId46" tgtFrame="&quot;&quot;_blank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are on LinkedIn">
                      <a:hlinkClick r:id="rId46" tgtFrame="&quot;&quot;_blank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3"/>
        <w:spacing w:before="0" w:beforeAutospacing="0" w:after="300" w:afterAutospacing="0"/>
        <w:rPr>
          <w:rFonts w:ascii="Arial" w:hAnsi="Arial" w:cs="Arial"/>
          <w:color w:val="FD5F00"/>
        </w:rPr>
      </w:pPr>
      <w:r>
        <w:rPr>
          <w:rFonts w:ascii="Arial" w:hAnsi="Arial" w:cs="Arial"/>
          <w:color w:val="FD5F00"/>
        </w:rPr>
        <w:t>Najnovije</w:t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"https://skolazazivot.hr/preporuke-za-organizaciju-rada-u-razrednoj-nastavi-i-upute-za-vrednovanje-i-ocjenjivanje-u-mjesovitom-modelu-nastave/"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Preporuke za organizaciju rada u razrednoj nastavi i upute za vrednovanje i ocjenjivanje u mješovitom modelu nastave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"https://skolazazivot.hr/matific-u-hrvatskoj-pregled-rezultata/"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proofErr w:type="spellStart"/>
      <w:r>
        <w:rPr>
          <w:rFonts w:ascii="Arial" w:hAnsi="Arial" w:cs="Arial"/>
          <w:color w:val="00204A"/>
          <w:sz w:val="26"/>
          <w:szCs w:val="26"/>
        </w:rPr>
        <w:t>Matific</w:t>
      </w:r>
      <w:proofErr w:type="spellEnd"/>
      <w:r>
        <w:rPr>
          <w:rFonts w:ascii="Arial" w:hAnsi="Arial" w:cs="Arial"/>
          <w:color w:val="00204A"/>
          <w:sz w:val="26"/>
          <w:szCs w:val="26"/>
        </w:rPr>
        <w:t xml:space="preserve"> u Hrvatskoj – pregled rezultata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lastRenderedPageBreak/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"https://skolazazivot.hr/obracanje-ministrice-ravnateljima-osnovnih-i-srednjih-skola-23-4-2020/"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Obraćanje ministrice ravnateljima osnovnih i srednjih škola 23. 4. 2020.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"https://skolazazivot.hr/nastava-na-daljinu-cesta-pitanja-i-odgovori-22-4-2020/"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Nastava na daljinu – Česta pitanja i odgovori – 22. 4. 2020.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"https://skolazazivot.hr/salabahteri-za-nastavu-na-daljinu/"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“Šalabahteri” za nastavu na daljinu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"https://skolazazivot.hr/elementi-vrednovanja-i-upisivanje-ocjene/" </w:instrText>
      </w:r>
      <w:r>
        <w:fldChar w:fldCharType="separate"/>
      </w:r>
    </w:p>
    <w:p w:rsidR="00FB2AE8" w:rsidRDefault="00FB2AE8" w:rsidP="00FB2AE8">
      <w:pPr>
        <w:pStyle w:val="Naslov4"/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Elementi vrednovanja i upisivanje ocjene</w:t>
      </w:r>
    </w:p>
    <w:p w:rsidR="00FB2AE8" w:rsidRDefault="00FB2AE8" w:rsidP="00FB2AE8">
      <w:pP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pStyle w:val="Naslov3"/>
        <w:spacing w:after="300" w:afterAutospacing="0"/>
        <w:rPr>
          <w:rFonts w:ascii="Arial" w:hAnsi="Arial" w:cs="Arial"/>
          <w:color w:val="FD5F00"/>
        </w:rPr>
      </w:pPr>
      <w:proofErr w:type="spellStart"/>
      <w:r>
        <w:rPr>
          <w:rFonts w:ascii="Arial" w:hAnsi="Arial" w:cs="Arial"/>
          <w:color w:val="FD5F00"/>
        </w:rPr>
        <w:t>Tagovi</w:t>
      </w:r>
      <w:proofErr w:type="spellEnd"/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48" w:history="1">
        <w:r w:rsidR="00FB2AE8">
          <w:rPr>
            <w:rStyle w:val="Hiperveza"/>
            <w:color w:val="00204A"/>
            <w:shd w:val="clear" w:color="auto" w:fill="E4EFFC"/>
          </w:rPr>
          <w:t>izvješće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49" w:history="1">
        <w:r w:rsidR="00FB2AE8">
          <w:rPr>
            <w:rStyle w:val="Hiperveza"/>
            <w:color w:val="00204A"/>
            <w:shd w:val="clear" w:color="auto" w:fill="E4EFFC"/>
          </w:rPr>
          <w:t>virtualne učionice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0" w:history="1">
        <w:r w:rsidR="00FB2AE8">
          <w:rPr>
            <w:rStyle w:val="Hiperveza"/>
            <w:color w:val="00204A"/>
            <w:shd w:val="clear" w:color="auto" w:fill="E4EFFC"/>
          </w:rPr>
          <w:t>Digitalni alati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1" w:history="1">
        <w:r w:rsidR="00FB2AE8">
          <w:rPr>
            <w:rStyle w:val="Hiperveza"/>
            <w:color w:val="00204A"/>
            <w:shd w:val="clear" w:color="auto" w:fill="E4EFFC"/>
          </w:rPr>
          <w:t>Srednje škole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2" w:history="1">
        <w:r w:rsidR="00FB2AE8">
          <w:rPr>
            <w:rStyle w:val="Hiperveza"/>
            <w:color w:val="00204A"/>
            <w:shd w:val="clear" w:color="auto" w:fill="E4EFFC"/>
          </w:rPr>
          <w:t>Osnovne škole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3" w:history="1">
        <w:r w:rsidR="00FB2AE8">
          <w:rPr>
            <w:rStyle w:val="Hiperveza"/>
            <w:color w:val="00204A"/>
            <w:shd w:val="clear" w:color="auto" w:fill="E4EFFC"/>
          </w:rPr>
          <w:t>Matematika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4" w:history="1">
        <w:r w:rsidR="00FB2AE8">
          <w:rPr>
            <w:rStyle w:val="Hiperveza"/>
            <w:color w:val="00204A"/>
            <w:shd w:val="clear" w:color="auto" w:fill="E4EFFC"/>
          </w:rPr>
          <w:t>Intervju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5" w:history="1">
        <w:proofErr w:type="spellStart"/>
        <w:r w:rsidR="00FB2AE8">
          <w:rPr>
            <w:rStyle w:val="Hiperveza"/>
            <w:color w:val="00204A"/>
            <w:shd w:val="clear" w:color="auto" w:fill="E4EFFC"/>
          </w:rPr>
          <w:t>tutorijal</w:t>
        </w:r>
        <w:proofErr w:type="spellEnd"/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6" w:history="1">
        <w:r w:rsidR="00FB2AE8">
          <w:rPr>
            <w:rStyle w:val="Hiperveza"/>
            <w:color w:val="00204A"/>
            <w:shd w:val="clear" w:color="auto" w:fill="E4EFFC"/>
          </w:rPr>
          <w:t>informatika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7" w:history="1">
        <w:r w:rsidR="00FB2AE8">
          <w:rPr>
            <w:rStyle w:val="Hiperveza"/>
            <w:color w:val="00204A"/>
            <w:shd w:val="clear" w:color="auto" w:fill="E4EFFC"/>
          </w:rPr>
          <w:t>evaluacija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8" w:history="1">
        <w:r w:rsidR="00FB2AE8">
          <w:rPr>
            <w:rStyle w:val="Hiperveza"/>
            <w:color w:val="00204A"/>
            <w:shd w:val="clear" w:color="auto" w:fill="E4EFFC"/>
          </w:rPr>
          <w:t>Javni poziv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59" w:history="1">
        <w:proofErr w:type="spellStart"/>
        <w:r w:rsidR="00FB2AE8">
          <w:rPr>
            <w:rStyle w:val="Hiperveza"/>
            <w:color w:val="00204A"/>
            <w:shd w:val="clear" w:color="auto" w:fill="E4EFFC"/>
          </w:rPr>
          <w:t>Kurikularna</w:t>
        </w:r>
        <w:proofErr w:type="spellEnd"/>
        <w:r w:rsidR="00FB2AE8">
          <w:rPr>
            <w:rStyle w:val="Hiperveza"/>
            <w:color w:val="00204A"/>
            <w:shd w:val="clear" w:color="auto" w:fill="E4EFFC"/>
          </w:rPr>
          <w:t xml:space="preserve"> reforma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60" w:history="1">
        <w:r w:rsidR="00FB2AE8">
          <w:rPr>
            <w:rStyle w:val="Hiperveza"/>
            <w:color w:val="00204A"/>
            <w:shd w:val="clear" w:color="auto" w:fill="E4EFFC"/>
          </w:rPr>
          <w:t>Vrednovanje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61" w:history="1">
        <w:r w:rsidR="00FB2AE8">
          <w:rPr>
            <w:rStyle w:val="Hiperveza"/>
            <w:color w:val="00204A"/>
            <w:shd w:val="clear" w:color="auto" w:fill="E4EFFC"/>
          </w:rPr>
          <w:t>Njemački jezik</w:t>
        </w:r>
      </w:hyperlink>
    </w:p>
    <w:p w:rsidR="00FB2AE8" w:rsidRDefault="009B7E9D" w:rsidP="00FB2AE8">
      <w:pPr>
        <w:numPr>
          <w:ilvl w:val="0"/>
          <w:numId w:val="5"/>
        </w:numPr>
        <w:spacing w:beforeAutospacing="1" w:afterAutospacing="1"/>
      </w:pPr>
      <w:hyperlink r:id="rId62" w:history="1">
        <w:r w:rsidR="00FB2AE8">
          <w:rPr>
            <w:rStyle w:val="Hiperveza"/>
            <w:color w:val="00204A"/>
            <w:shd w:val="clear" w:color="auto" w:fill="E4EFFC"/>
          </w:rPr>
          <w:t>stručno usavršavanje</w:t>
        </w:r>
      </w:hyperlink>
    </w:p>
    <w:p w:rsidR="00FB2AE8" w:rsidRDefault="00FB2AE8" w:rsidP="00FB2AE8">
      <w:pPr>
        <w:pStyle w:val="Naslov3"/>
        <w:spacing w:after="300" w:afterAutospacing="0"/>
        <w:rPr>
          <w:rFonts w:ascii="Arial" w:hAnsi="Arial" w:cs="Arial"/>
          <w:color w:val="FD5F00"/>
        </w:rPr>
      </w:pPr>
      <w:r>
        <w:rPr>
          <w:rFonts w:ascii="Arial" w:hAnsi="Arial" w:cs="Arial"/>
          <w:color w:val="FD5F00"/>
        </w:rPr>
        <w:t>Arhiva</w:t>
      </w:r>
    </w:p>
    <w:p w:rsidR="00FB2AE8" w:rsidRDefault="00FB2AE8" w:rsidP="00FB2AE8">
      <w:r>
        <w:lastRenderedPageBreak/>
        <w:t>Odaberite mjesec</w:t>
      </w:r>
    </w:p>
    <w:p w:rsidR="00FB2AE8" w:rsidRDefault="00FB2AE8"/>
    <w:sectPr w:rsidR="00FB2AE8" w:rsidSect="0086470E">
      <w:footerReference w:type="default" r:id="rId63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E9D" w:rsidRDefault="009B7E9D" w:rsidP="0086470E">
      <w:r>
        <w:separator/>
      </w:r>
    </w:p>
  </w:endnote>
  <w:endnote w:type="continuationSeparator" w:id="0">
    <w:p w:rsidR="009B7E9D" w:rsidRDefault="009B7E9D" w:rsidP="0086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</w:rPr>
      <w:id w:val="-150689942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86470E" w:rsidRDefault="0086470E" w:rsidP="0086470E">
            <w:pPr>
              <w:pStyle w:val="Podnoje"/>
              <w:jc w:val="right"/>
              <w:rPr>
                <w:sz w:val="18"/>
              </w:rPr>
            </w:pPr>
          </w:p>
          <w:tbl>
            <w:tblPr>
              <w:tblStyle w:val="Reetkatablice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28"/>
            </w:tblGrid>
            <w:tr w:rsidR="0086470E" w:rsidRPr="0086470E" w:rsidTr="0086470E">
              <w:tc>
                <w:tcPr>
                  <w:tcW w:w="9628" w:type="dxa"/>
                </w:tcPr>
                <w:p w:rsidR="0086470E" w:rsidRPr="0086470E" w:rsidRDefault="0086470E" w:rsidP="0086470E">
                  <w:pPr>
                    <w:pStyle w:val="Podnoje"/>
                    <w:jc w:val="right"/>
                    <w:rPr>
                      <w:sz w:val="6"/>
                    </w:rPr>
                  </w:pPr>
                </w:p>
              </w:tc>
            </w:tr>
          </w:tbl>
          <w:p w:rsidR="0086470E" w:rsidRPr="0086470E" w:rsidRDefault="0086470E" w:rsidP="0086470E">
            <w:pPr>
              <w:pStyle w:val="Podnoje"/>
              <w:jc w:val="right"/>
              <w:rPr>
                <w:sz w:val="18"/>
              </w:rPr>
            </w:pPr>
            <w:r w:rsidRPr="0086470E">
              <w:rPr>
                <w:sz w:val="18"/>
              </w:rPr>
              <w:t xml:space="preserve">Stranica </w:t>
            </w:r>
            <w:r w:rsidRPr="0086470E">
              <w:rPr>
                <w:b/>
                <w:bCs/>
                <w:sz w:val="18"/>
              </w:rPr>
              <w:fldChar w:fldCharType="begin"/>
            </w:r>
            <w:r w:rsidRPr="0086470E">
              <w:rPr>
                <w:b/>
                <w:bCs/>
                <w:sz w:val="18"/>
              </w:rPr>
              <w:instrText>PAGE</w:instrText>
            </w:r>
            <w:r w:rsidRPr="0086470E">
              <w:rPr>
                <w:b/>
                <w:bCs/>
                <w:sz w:val="18"/>
              </w:rPr>
              <w:fldChar w:fldCharType="separate"/>
            </w:r>
            <w:r w:rsidR="00FB2AE8">
              <w:rPr>
                <w:b/>
                <w:bCs/>
                <w:noProof/>
                <w:sz w:val="18"/>
              </w:rPr>
              <w:t>16</w:t>
            </w:r>
            <w:r w:rsidRPr="0086470E">
              <w:rPr>
                <w:b/>
                <w:bCs/>
                <w:sz w:val="18"/>
              </w:rPr>
              <w:fldChar w:fldCharType="end"/>
            </w:r>
            <w:r w:rsidRPr="0086470E">
              <w:rPr>
                <w:sz w:val="18"/>
              </w:rPr>
              <w:t xml:space="preserve"> od </w:t>
            </w:r>
            <w:r w:rsidRPr="0086470E">
              <w:rPr>
                <w:b/>
                <w:bCs/>
                <w:sz w:val="18"/>
              </w:rPr>
              <w:fldChar w:fldCharType="begin"/>
            </w:r>
            <w:r w:rsidRPr="0086470E">
              <w:rPr>
                <w:b/>
                <w:bCs/>
                <w:sz w:val="18"/>
              </w:rPr>
              <w:instrText>NUMPAGES</w:instrText>
            </w:r>
            <w:r w:rsidRPr="0086470E">
              <w:rPr>
                <w:b/>
                <w:bCs/>
                <w:sz w:val="18"/>
              </w:rPr>
              <w:fldChar w:fldCharType="separate"/>
            </w:r>
            <w:r w:rsidR="00FB2AE8">
              <w:rPr>
                <w:b/>
                <w:bCs/>
                <w:noProof/>
                <w:sz w:val="18"/>
              </w:rPr>
              <w:t>17</w:t>
            </w:r>
            <w:r w:rsidRPr="0086470E">
              <w:rPr>
                <w:b/>
                <w:bCs/>
                <w:sz w:val="18"/>
              </w:rPr>
              <w:fldChar w:fldCharType="end"/>
            </w:r>
          </w:p>
        </w:sdtContent>
      </w:sdt>
    </w:sdtContent>
  </w:sdt>
  <w:p w:rsidR="0086470E" w:rsidRDefault="0086470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E9D" w:rsidRDefault="009B7E9D" w:rsidP="0086470E">
      <w:r>
        <w:separator/>
      </w:r>
    </w:p>
  </w:footnote>
  <w:footnote w:type="continuationSeparator" w:id="0">
    <w:p w:rsidR="009B7E9D" w:rsidRDefault="009B7E9D" w:rsidP="00864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054D0"/>
    <w:multiLevelType w:val="multilevel"/>
    <w:tmpl w:val="FF2A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F718AE"/>
    <w:multiLevelType w:val="multilevel"/>
    <w:tmpl w:val="EE60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D6777"/>
    <w:multiLevelType w:val="multilevel"/>
    <w:tmpl w:val="2984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623357"/>
    <w:multiLevelType w:val="multilevel"/>
    <w:tmpl w:val="92F8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C460DF"/>
    <w:multiLevelType w:val="multilevel"/>
    <w:tmpl w:val="18AE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AE8"/>
    <w:rsid w:val="00424A42"/>
    <w:rsid w:val="00493CEC"/>
    <w:rsid w:val="0086470E"/>
    <w:rsid w:val="0090328E"/>
    <w:rsid w:val="009B7E9D"/>
    <w:rsid w:val="00A2225D"/>
    <w:rsid w:val="00A6075A"/>
    <w:rsid w:val="00F8374C"/>
    <w:rsid w:val="00FB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D59F42-661F-459E-B834-B2BC77DA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4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link w:val="Naslov1Char"/>
    <w:uiPriority w:val="9"/>
    <w:qFormat/>
    <w:rsid w:val="00FB2A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slov2">
    <w:name w:val="heading 2"/>
    <w:basedOn w:val="Normal"/>
    <w:link w:val="Naslov2Char"/>
    <w:uiPriority w:val="9"/>
    <w:qFormat/>
    <w:rsid w:val="00FB2A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link w:val="Naslov3Char"/>
    <w:uiPriority w:val="9"/>
    <w:qFormat/>
    <w:rsid w:val="00FB2A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slov4">
    <w:name w:val="heading 4"/>
    <w:basedOn w:val="Normal"/>
    <w:link w:val="Naslov4Char"/>
    <w:uiPriority w:val="9"/>
    <w:qFormat/>
    <w:rsid w:val="00FB2AE8"/>
    <w:pPr>
      <w:spacing w:before="100" w:beforeAutospacing="1" w:after="100" w:afterAutospacing="1"/>
      <w:outlineLvl w:val="3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86470E"/>
    <w:rPr>
      <w:color w:val="0000FF"/>
      <w:u w:val="single"/>
    </w:rPr>
  </w:style>
  <w:style w:type="table" w:styleId="Reetkatablice">
    <w:name w:val="Table Grid"/>
    <w:basedOn w:val="Obinatablica"/>
    <w:rsid w:val="00864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6470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6470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6470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6470E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FB2AE8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FB2AE8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FB2AE8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FB2AE8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date-second">
    <w:name w:val="date-second"/>
    <w:basedOn w:val="Zadanifontodlomka"/>
    <w:rsid w:val="00FB2AE8"/>
  </w:style>
  <w:style w:type="paragraph" w:styleId="StandardWeb">
    <w:name w:val="Normal (Web)"/>
    <w:basedOn w:val="Normal"/>
    <w:uiPriority w:val="99"/>
    <w:semiHidden/>
    <w:unhideWhenUsed/>
    <w:rsid w:val="00FB2AE8"/>
    <w:pPr>
      <w:spacing w:before="100" w:beforeAutospacing="1" w:after="100" w:afterAutospacing="1"/>
    </w:pPr>
  </w:style>
  <w:style w:type="character" w:styleId="Istaknuto">
    <w:name w:val="Emphasis"/>
    <w:basedOn w:val="Zadanifontodlomka"/>
    <w:uiPriority w:val="20"/>
    <w:qFormat/>
    <w:rsid w:val="00FB2AE8"/>
    <w:rPr>
      <w:i/>
      <w:iCs/>
    </w:rPr>
  </w:style>
  <w:style w:type="character" w:styleId="Naglaeno">
    <w:name w:val="Strong"/>
    <w:basedOn w:val="Zadanifontodlomka"/>
    <w:uiPriority w:val="22"/>
    <w:qFormat/>
    <w:rsid w:val="00FB2AE8"/>
    <w:rPr>
      <w:b/>
      <w:bCs/>
    </w:rPr>
  </w:style>
  <w:style w:type="character" w:customStyle="1" w:styleId="ssba-share-text">
    <w:name w:val="ssba-share-text"/>
    <w:basedOn w:val="Zadanifontodlomka"/>
    <w:rsid w:val="00FB2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52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4658">
                      <w:blockQuote w:val="1"/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single" w:sz="36" w:space="26" w:color="FD5F00"/>
                        <w:bottom w:val="none" w:sz="0" w:space="0" w:color="auto"/>
                        <w:right w:val="none" w:sz="0" w:space="0" w:color="auto"/>
                      </w:divBdr>
                    </w:div>
                    <w:div w:id="1879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6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90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87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76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64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76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8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zjz.hr/wp-content/uploads/2020/03/Upute-vrtici-i-skole-29-4-2020-finalno.pdf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hzjz.hr/wp-content/uploads/2020/03/Upute-vrtici-i-skole-29-4-2020-finalno.pdf" TargetMode="External"/><Relationship Id="rId42" Type="http://schemas.openxmlformats.org/officeDocument/2006/relationships/hyperlink" Target="https://www.facebook.com/sharer.php?u=https://skolazazivot.hr/preporuke-za-organizaciju-rada-u-razrednoj-nastavi-i-upute-za-vrednovanje-i-ocjenjivanje-u-mjesovitom-modelu-nastave/" TargetMode="External"/><Relationship Id="rId47" Type="http://schemas.openxmlformats.org/officeDocument/2006/relationships/image" Target="media/image14.png"/><Relationship Id="rId50" Type="http://schemas.openxmlformats.org/officeDocument/2006/relationships/hyperlink" Target="https://skolazazivot.hr/tag/digitalni-alati/" TargetMode="External"/><Relationship Id="rId55" Type="http://schemas.openxmlformats.org/officeDocument/2006/relationships/hyperlink" Target="https://skolazazivot.hr/tag/tutorijal/" TargetMode="External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2FkzJufULIFv7f2RO-tgjw" TargetMode="External"/><Relationship Id="rId29" Type="http://schemas.openxmlformats.org/officeDocument/2006/relationships/hyperlink" Target="https://narodne-novine.nn.hr/clanci/sluzbeni/2015_03_24_510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s://www.hzjz.hr/wp-content/uploads/2020/03/Upute-vrtici-i-skole-29-4-2020-finalno.pdf" TargetMode="External"/><Relationship Id="rId40" Type="http://schemas.openxmlformats.org/officeDocument/2006/relationships/hyperlink" Target="https://narodne-novine.nn.hr/clanci/sluzbeni/2015_03_24_510.html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skolazazivot.hr/tag/matematika/" TargetMode="External"/><Relationship Id="rId58" Type="http://schemas.openxmlformats.org/officeDocument/2006/relationships/hyperlink" Target="https://skolazazivot.hr/tag/javni-poziv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skolazazivot.hr/tag/njemacki-jezik/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www.hzjz.hr/wp-content/uploads/2020/03/Upute-vrtici-i-skole-29-4-2020-finalno.pdf" TargetMode="External"/><Relationship Id="rId22" Type="http://schemas.openxmlformats.org/officeDocument/2006/relationships/hyperlink" Target="https://www.hzjz.hr/wp-content/uploads/2020/03/Upute-vrtici-i-skole-29-4-2020-finalno.pdf" TargetMode="External"/><Relationship Id="rId27" Type="http://schemas.openxmlformats.org/officeDocument/2006/relationships/hyperlink" Target="https://www.hzjz.hr/wp-content/uploads/2020/03/Upute-vrtici-i-skole-29-4-2020-finalno.pdf" TargetMode="External"/><Relationship Id="rId30" Type="http://schemas.openxmlformats.org/officeDocument/2006/relationships/hyperlink" Target="https://www.hzjz.hr/wp-content/uploads/2020/03/Upute-vrtici-i-skole-29-4-2020-finalno.pdf" TargetMode="External"/><Relationship Id="rId35" Type="http://schemas.openxmlformats.org/officeDocument/2006/relationships/hyperlink" Target="http://www.mzo.hr/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skolazazivot.hr/tag/izvjesce/" TargetMode="External"/><Relationship Id="rId56" Type="http://schemas.openxmlformats.org/officeDocument/2006/relationships/hyperlink" Target="https://skolazazivot.hr/tag/informatika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vlada.gov.hr/sjednice/226-sjednica-vlade-republike-hrvatske-29295/29295" TargetMode="External"/><Relationship Id="rId51" Type="http://schemas.openxmlformats.org/officeDocument/2006/relationships/hyperlink" Target="https://skolazazivot.hr/tag/srednje-skol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hyperlink" Target="https://www.hzjz.hr/wp-content/uploads/2020/03/Upute-vrtici-i-skole-29-4-2020-finalno.pdf" TargetMode="External"/><Relationship Id="rId33" Type="http://schemas.openxmlformats.org/officeDocument/2006/relationships/hyperlink" Target="https://www.hzjz.hr/wp-content/uploads/2020/03/Upute-vrtici-i-skole-29-4-2020-finalno.pdf" TargetMode="External"/><Relationship Id="rId38" Type="http://schemas.openxmlformats.org/officeDocument/2006/relationships/hyperlink" Target="https://skolazazivot.hr/upute-za-vrednovanje-i-ocjenjivanje-tijekom-nastave-na-daljinu/" TargetMode="External"/><Relationship Id="rId46" Type="http://schemas.openxmlformats.org/officeDocument/2006/relationships/hyperlink" Target="https://www.linkedin.com/shareArticle?mini=true&amp;url=https://skolazazivot.hr/preporuke-za-organizaciju-rada-u-razrednoj-nastavi-i-upute-za-vrednovanje-i-ocjenjivanje-u-mjesovitom-modelu-nastave/" TargetMode="External"/><Relationship Id="rId59" Type="http://schemas.openxmlformats.org/officeDocument/2006/relationships/hyperlink" Target="https://skolazazivot.hr/tag/kurikularna-reforma/" TargetMode="External"/><Relationship Id="rId20" Type="http://schemas.openxmlformats.org/officeDocument/2006/relationships/hyperlink" Target="https://skolazazivot.hr/upute-za-vrednovanje-i-ocjenjivanje-tijekom-nastave-na-daljinu/" TargetMode="External"/><Relationship Id="rId41" Type="http://schemas.openxmlformats.org/officeDocument/2006/relationships/hyperlink" Target="https://en.unesco.org/news/back-school-preparing-and-managing-reopening-schools" TargetMode="External"/><Relationship Id="rId54" Type="http://schemas.openxmlformats.org/officeDocument/2006/relationships/hyperlink" Target="https://skolazazivot.hr/tag/intervju/" TargetMode="External"/><Relationship Id="rId62" Type="http://schemas.openxmlformats.org/officeDocument/2006/relationships/hyperlink" Target="https://skolazazivot.hr/tag/strucno-usavrsavanj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kolazazivot.hr/materijali/" TargetMode="External"/><Relationship Id="rId23" Type="http://schemas.openxmlformats.org/officeDocument/2006/relationships/hyperlink" Target="https://www.hzjz.hr/wp-content/uploads/2020/03/Upute-vrtici-i-skole-29-4-2020-finalno.pdf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skolazazivot.hr/" TargetMode="External"/><Relationship Id="rId49" Type="http://schemas.openxmlformats.org/officeDocument/2006/relationships/hyperlink" Target="https://skolazazivot.hr/tag/virtualne-ucionice/" TargetMode="External"/><Relationship Id="rId57" Type="http://schemas.openxmlformats.org/officeDocument/2006/relationships/hyperlink" Target="https://skolazazivot.hr/tag/evaluacija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hzjz.hr/wp-content/uploads/2020/03/Upute-vrtici-i-skole-29-4-2020-finalno.pdf" TargetMode="External"/><Relationship Id="rId44" Type="http://schemas.openxmlformats.org/officeDocument/2006/relationships/hyperlink" Target="https://twitter.com/share?url=https://skolazazivot.hr/preporuke-za-organizaciju-rada-u-razrednoj-nastavi-i-upute-za-vrednovanje-i-ocjenjivanje-u-mjesovitom-modelu-nastave/&amp;text=Preporuke%20za%20organizaciju%20rada%20u%20razrednoj%20nastavi%20i%20upute%20za%20vrednovanje%20i%20ocjenjivanje%20u%20mje%C5%A1ovitom%20modelu%20nastave%20" TargetMode="External"/><Relationship Id="rId52" Type="http://schemas.openxmlformats.org/officeDocument/2006/relationships/hyperlink" Target="https://skolazazivot.hr/tag/osnovne-skole/" TargetMode="External"/><Relationship Id="rId60" Type="http://schemas.openxmlformats.org/officeDocument/2006/relationships/hyperlink" Target="https://skolazazivot.hr/tag/vrednovanje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zjz.hr/wp-content/uploads/2020/03/Upute-vrtici-i-skole-29-4-2020-finalno.pdf" TargetMode="External"/><Relationship Id="rId13" Type="http://schemas.openxmlformats.org/officeDocument/2006/relationships/hyperlink" Target="https://skolazazivot.hr/materijali/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://www.propisi.hr/print.php?id=1292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bun\Documents\Prilago&#273;eni%20predlo&#353;ci%20sustava%20Office\RKJ%20Dopis%20SIMPLE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RKJ Dopis SIMPLE</Template>
  <TotalTime>0</TotalTime>
  <Pages>17</Pages>
  <Words>4181</Words>
  <Characters>23833</Characters>
  <Application>Microsoft Office Word</Application>
  <DocSecurity>0</DocSecurity>
  <Lines>198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 Glavan</dc:creator>
  <cp:keywords/>
  <dc:description/>
  <cp:lastModifiedBy>Korisnik</cp:lastModifiedBy>
  <cp:revision>2</cp:revision>
  <dcterms:created xsi:type="dcterms:W3CDTF">2020-04-30T13:00:00Z</dcterms:created>
  <dcterms:modified xsi:type="dcterms:W3CDTF">2020-04-30T13:00:00Z</dcterms:modified>
</cp:coreProperties>
</file>